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2937"/>
          <w:sz w:val="40"/>
          <w:szCs w:val="40"/>
        </w:rPr>
        <w:t xml:space="preserve">NICOLAS A. M. FAYER</w:t>
      </w:r>
    </w:p>
    <w:p>
      <w:pPr>
        <w:spacing w:after="120"/>
      </w:pPr>
      <w:r>
        <w:rPr>
          <w:rFonts w:ascii="Calibri" w:cs="Calibri" w:eastAsia="Calibri" w:hAnsi="Calibri"/>
          <w:color w:val="C2410C"/>
          <w:sz w:val="22"/>
          <w:szCs w:val="22"/>
        </w:rPr>
        <w:t xml:space="preserve">Gestor de Tráfego  |  Especialista em Performance Digital e Funis de Venda</w:t>
      </w:r>
    </w:p>
    <w:p>
      <w:pPr>
        <w:pBdr>
          <w:bottom w:val="single" w:color="C2410C" w:sz="12" w:space="1"/>
        </w:pBdr>
        <w:spacing w:after="160"/>
      </w:pPr>
      <w:r>
        <w:rPr>
          <w:rFonts w:ascii="Calibri" w:cs="Calibri" w:eastAsia="Calibri" w:hAnsi="Calibri"/>
          <w:color w:val="4B5563"/>
          <w:sz w:val="19"/>
          <w:szCs w:val="19"/>
        </w:rPr>
        <w:t xml:space="preserve">fayernicolas@gmail.com</w:t>
      </w:r>
      <w:r>
        <w:rPr>
          <w:rFonts w:ascii="Calibri" w:cs="Calibri" w:eastAsia="Calibri" w:hAnsi="Calibri"/>
          <w:color w:val="C2410C"/>
          <w:sz w:val="19"/>
          <w:szCs w:val="19"/>
        </w:rPr>
        <w:t xml:space="preserve">   |   </w:t>
      </w:r>
      <w:r>
        <w:rPr>
          <w:rFonts w:ascii="Calibri" w:cs="Calibri" w:eastAsia="Calibri" w:hAnsi="Calibri"/>
          <w:color w:val="4B5563"/>
          <w:sz w:val="19"/>
          <w:szCs w:val="19"/>
        </w:rPr>
        <w:t xml:space="preserve">+55 32 98486-9729</w:t>
      </w:r>
      <w:r>
        <w:rPr>
          <w:rFonts w:ascii="Calibri" w:cs="Calibri" w:eastAsia="Calibri" w:hAnsi="Calibri"/>
          <w:color w:val="C2410C"/>
          <w:sz w:val="19"/>
          <w:szCs w:val="19"/>
        </w:rPr>
        <w:t xml:space="preserve">   |   </w:t>
      </w:r>
      <w:r>
        <w:rPr>
          <w:rFonts w:ascii="Calibri" w:cs="Calibri" w:eastAsia="Calibri" w:hAnsi="Calibri"/>
          <w:color w:val="4B5563"/>
          <w:sz w:val="19"/>
          <w:szCs w:val="19"/>
        </w:rPr>
        <w:t xml:space="preserve">tmjmarketing.com.br</w:t>
      </w:r>
    </w:p>
    <w:p>
      <w:pPr>
        <w:pBdr>
          <w:bottom w:val="single" w:color="C2410C" w:sz="12" w:space="1"/>
        </w:pBdr>
        <w:spacing w:after="80" w:before="180"/>
      </w:pPr>
      <w:r>
        <w:rPr>
          <w:rFonts w:ascii="Calibri" w:cs="Calibri" w:eastAsia="Calibri" w:hAnsi="Calibri"/>
          <w:b/>
          <w:bCs/>
          <w:color w:val="C2410C"/>
          <w:sz w:val="22"/>
          <w:szCs w:val="22"/>
        </w:rPr>
        <w:t xml:space="preserve">RESUMO PROFISSIONAL</w:t>
      </w:r>
    </w:p>
    <w:p>
      <w:pPr>
        <w:spacing w:after="60"/>
        <w:jc w:val="both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Gestor de tráfego e fundador da TMJ Marketing, com 9 anos de atuação em marketing digital e performance. Já gerenciei mais de R$ 1 milhão em investimento de mídia paga no Google Ads e Meta Ads, com experiência comprovada em campanhas no Brasil e nos Estados Unidos. Inglês fluente. Especialista em funis de venda com automação, unindo captação de tráfego, qualificação de leads, follow-up automatizado e CRM em um processo robusto que conduz o lead do primeiro clique até a venda. Experiência sólida em campanhas para eventos e negócios locais.</w:t>
      </w:r>
    </w:p>
    <w:p>
      <w:pPr>
        <w:pBdr>
          <w:bottom w:val="single" w:color="C2410C" w:sz="12" w:space="1"/>
        </w:pBdr>
        <w:spacing w:after="80" w:before="180"/>
      </w:pPr>
      <w:r>
        <w:rPr>
          <w:rFonts w:ascii="Calibri" w:cs="Calibri" w:eastAsia="Calibri" w:hAnsi="Calibri"/>
          <w:b/>
          <w:bCs/>
          <w:color w:val="C2410C"/>
          <w:sz w:val="22"/>
          <w:szCs w:val="22"/>
        </w:rPr>
        <w:t xml:space="preserve">DIFERENCIAL: PROCESSO DE FUNIL COM AUTOMAÇÃO</w:t>
      </w:r>
    </w:p>
    <w:p>
      <w:pPr>
        <w:spacing w:after="60"/>
        <w:jc w:val="both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Diferente de uma gestão que apenas sobe e otimiza campanhas, opero um processo próprio e estruturado de ponta a ponta: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Aquisição —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captação de tráfego qualificado no Google e Meta Ads;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Conversão —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automação de qualificação e resposta imediata (chat, voz e WhatsApp);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Retenção —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follow-up automatizado e nutrição até o agendamento;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Fechamento —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integração com CRM para acompanhar o lead até a venda e medir o retorno real.</w:t>
      </w:r>
    </w:p>
    <w:p>
      <w:pPr>
        <w:pBdr>
          <w:bottom w:val="single" w:color="C2410C" w:sz="12" w:space="1"/>
        </w:pBdr>
        <w:spacing w:after="80" w:before="180"/>
      </w:pPr>
      <w:r>
        <w:rPr>
          <w:rFonts w:ascii="Calibri" w:cs="Calibri" w:eastAsia="Calibri" w:hAnsi="Calibri"/>
          <w:b/>
          <w:bCs/>
          <w:color w:val="C2410C"/>
          <w:sz w:val="22"/>
          <w:szCs w:val="22"/>
        </w:rPr>
        <w:t xml:space="preserve">COMPETÊNCIAS TÉCNICAS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1"/>
          <w:szCs w:val="21"/>
        </w:rPr>
        <w:t xml:space="preserve">Google Ads (Search, Performance Max, YouTube), Meta Ads e LSA (Local Services Ads)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1"/>
          <w:szCs w:val="21"/>
        </w:rPr>
        <w:t xml:space="preserve">Google Analytics 4, Tag Manager, rastreamento de conversões e mensuração de resultados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1"/>
          <w:szCs w:val="21"/>
        </w:rPr>
        <w:t xml:space="preserve">Funis de venda, landing pages e campanhas para eventos e lançamentos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1"/>
          <w:szCs w:val="21"/>
        </w:rPr>
        <w:t xml:space="preserve">Automação de marketing e CRM (GoHighLevel, n8n, WhatsApp / Evolution API)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1"/>
          <w:szCs w:val="21"/>
        </w:rPr>
        <w:t xml:space="preserve">Agentes de IA para atendimento: voz, chat e follow-up automatizado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1"/>
          <w:szCs w:val="21"/>
        </w:rPr>
        <w:t xml:space="preserve">Gestão de mídia em BRL e USD, com atuação em contas no Brasil e nos EUA</w:t>
      </w:r>
    </w:p>
    <w:p>
      <w:pPr>
        <w:pBdr>
          <w:bottom w:val="single" w:color="C2410C" w:sz="12" w:space="1"/>
        </w:pBdr>
        <w:spacing w:after="80" w:before="180"/>
      </w:pPr>
      <w:r>
        <w:rPr>
          <w:rFonts w:ascii="Calibri" w:cs="Calibri" w:eastAsia="Calibri" w:hAnsi="Calibri"/>
          <w:b/>
          <w:bCs/>
          <w:color w:val="C2410C"/>
          <w:sz w:val="22"/>
          <w:szCs w:val="22"/>
        </w:rPr>
        <w:t xml:space="preserve">EXPERIÊNCIA PROFISSIONAL</w:t>
      </w:r>
    </w:p>
    <w:p>
      <w:pPr>
        <w:spacing w:before="6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Fundador e Gestor de Tráfego</w:t>
      </w:r>
      <w:r>
        <w:rPr>
          <w:rFonts w:ascii="Calibri" w:cs="Calibri" w:eastAsia="Calibri" w:hAnsi="Calibri"/>
          <w:color w:val="C2410C"/>
          <w:sz w:val="21"/>
          <w:szCs w:val="21"/>
        </w:rPr>
        <w:t xml:space="preserve">  —  TMJ Marketing (tmjmarketing.com.br)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4B5563"/>
          <w:sz w:val="19"/>
          <w:szCs w:val="19"/>
        </w:rPr>
        <w:t xml:space="preserve">Brasil e Estados Unidos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1"/>
          <w:szCs w:val="21"/>
        </w:rPr>
        <w:t xml:space="preserve">Fundei e dirijo a TMJ Marketing, operação de tráfego e automação com atuação em dois mercados: Brasil (Niterói/RJ) e Estados Unidos (Tennessee).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1"/>
          <w:szCs w:val="21"/>
        </w:rPr>
        <w:t xml:space="preserve">Gestão completa de funil de vendas: criação de campanhas, landing pages, automação de atendimento e CRM.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1"/>
          <w:szCs w:val="21"/>
        </w:rPr>
        <w:t xml:space="preserve">Mais de R$ 1 milhão gerenciados em mídia paga ao longo da carreira.</w:t>
      </w:r>
    </w:p>
    <w:p>
      <w:pPr>
        <w:spacing w:before="14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Gestão de Tráfego e Marketing — Principais Clientes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PDR Crew (pdrcrew.com) —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reparo automotivo e paintless dent repair (Austin e Pearland, Texas). Gestão de Google Ads, Meta Ads, LSA, perfil no Google e automação de atendimento por IA e CRM.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MB Wellness —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telehealth e wellness (Tennessee, EUA). Stack completa de captação, automação de SMS, agendamento e CRM.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Alpha Flooring and Tile —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pisos e revestimentos (região de Nashville, EUA). Campanhas, automação de atendimento e consentimento A2P.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Outros —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portfólio adicional de clientes nos setores de alimentação, artes marciais, turismo e serviços locais, no Brasil e nos EUA.</w:t>
      </w:r>
    </w:p>
    <w:p>
      <w:pPr>
        <w:pBdr>
          <w:bottom w:val="single" w:color="C2410C" w:sz="12" w:space="1"/>
        </w:pBdr>
        <w:spacing w:after="80" w:before="180"/>
      </w:pPr>
      <w:r>
        <w:rPr>
          <w:rFonts w:ascii="Calibri" w:cs="Calibri" w:eastAsia="Calibri" w:hAnsi="Calibri"/>
          <w:b/>
          <w:bCs/>
          <w:color w:val="C2410C"/>
          <w:sz w:val="22"/>
          <w:szCs w:val="22"/>
        </w:rPr>
        <w:t xml:space="preserve">FORMAÇÃO E CAPACITAÇÃO</w:t>
      </w:r>
    </w:p>
    <w:p>
      <w:pPr>
        <w:spacing w:after="50"/>
        <w:jc w:val="both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Formação técnica construída nas principais referências de tráfego pago e performance do Brasil: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Pedro Sobral —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comunidade Subido — formação em tráfego pago, gestão de campanhas e prospecção de clientes.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Pai do Tráfego —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formação em estruturação e escala de operações de tráfego.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color w:val="1F2937"/>
          <w:sz w:val="21"/>
          <w:szCs w:val="21"/>
        </w:rPr>
        <w:t xml:space="preserve">Tiago Tessmann —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mentoria Conversão Extrema, referência nacional em Google Ads e conversão.</w:t>
      </w:r>
    </w:p>
    <w:p>
      <w:pPr>
        <w:pBdr>
          <w:bottom w:val="single" w:color="C2410C" w:sz="12" w:space="1"/>
        </w:pBdr>
        <w:spacing w:after="80" w:before="180"/>
      </w:pPr>
      <w:r>
        <w:rPr>
          <w:rFonts w:ascii="Calibri" w:cs="Calibri" w:eastAsia="Calibri" w:hAnsi="Calibri"/>
          <w:b/>
          <w:bCs/>
          <w:color w:val="C2410C"/>
          <w:sz w:val="22"/>
          <w:szCs w:val="22"/>
        </w:rPr>
        <w:t xml:space="preserve">IDIOMAS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1"/>
          <w:szCs w:val="21"/>
        </w:rPr>
        <w:t xml:space="preserve">Português — nativo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4B5563"/>
          <w:sz w:val="21"/>
          <w:szCs w:val="21"/>
        </w:rPr>
        <w:t xml:space="preserve">Inglês — fluente (atuação profissional no mercado norte-americano)</w:t>
      </w:r>
    </w:p>
    <w:sectPr>
      <w:pgSz w:w="11906" w:h="16838" w:orient="portrait"/>
      <w:pgMar w:top="620" w:right="900" w:bottom="5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C2410C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2026-08-10T23:18:43.995Z</dcterms:created>
  <dcterms:modified xsi:type="dcterms:W3CDTF">2026-08-10T23:18:43.995Z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