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600"/>
      </w:pP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C2410C"/>
          <w:sz w:val="72"/>
          <w:szCs w:val="72"/>
        </w:rPr>
        <w:t xml:space="preserve">PORTFÓLIO</w:t>
      </w:r>
    </w:p>
    <w:p>
      <w:pPr>
        <w:spacing w:after="300"/>
        <w:jc w:val="center"/>
      </w:pPr>
      <w:r>
        <w:rPr>
          <w:rFonts w:ascii="Calibri" w:cs="Calibri" w:eastAsia="Calibri" w:hAnsi="Calibri"/>
          <w:color w:val="4B5563"/>
          <w:sz w:val="28"/>
          <w:szCs w:val="28"/>
        </w:rPr>
        <w:t xml:space="preserve">Gestão de Tráfego e Performance Digital</w:t>
      </w:r>
    </w:p>
    <w:p>
      <w:pPr>
        <w:pBdr>
          <w:top w:val="single" w:color="F59E0B" w:sz="12" w:space="8"/>
          <w:bottom w:val="single" w:color="F59E0B" w:sz="12" w:space="8"/>
        </w:pBdr>
        <w:spacing w:after="200" w:before="200"/>
        <w:jc w:val="center"/>
      </w:pPr>
      <w:r>
        <w:rPr>
          <w:rFonts w:ascii="Calibri" w:cs="Calibri" w:eastAsia="Calibri" w:hAnsi="Calibri"/>
          <w:b/>
          <w:bCs/>
          <w:color w:val="1F2937"/>
          <w:sz w:val="32"/>
          <w:szCs w:val="32"/>
        </w:rPr>
        <w:t xml:space="preserve">NICOLAS A. M. FAYER</w:t>
      </w:r>
    </w:p>
    <w:p>
      <w:pPr>
        <w:spacing w:before="120"/>
        <w:jc w:val="center"/>
      </w:pPr>
      <w:r>
        <w:rPr>
          <w:rFonts w:ascii="Calibri" w:cs="Calibri" w:eastAsia="Calibri" w:hAnsi="Calibri"/>
          <w:color w:val="C2410C"/>
          <w:sz w:val="22"/>
          <w:szCs w:val="22"/>
        </w:rPr>
        <w:t xml:space="preserve">Fundador — TMJ Marketing</w:t>
      </w:r>
    </w:p>
    <w:p>
      <w:pPr>
        <w:spacing w:before="3200"/>
        <w:jc w:val="center"/>
      </w:pPr>
      <w:r>
        <w:rPr>
          <w:rFonts w:ascii="Calibri" w:cs="Calibri" w:eastAsia="Calibri" w:hAnsi="Calibri"/>
          <w:color w:val="4B5563"/>
          <w:sz w:val="19"/>
          <w:szCs w:val="19"/>
        </w:rPr>
        <w:t xml:space="preserve">fayernicolas@gmail.com   |   +55 32 98486-9729   |   tmjmarketing.com.br</w:t>
      </w:r>
    </w:p>
    <w:p>
      <w:r>
        <w:br w:type="page"/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32"/>
          <w:szCs w:val="32"/>
        </w:rPr>
        <w:t xml:space="preserve">Sobre o Trabalho</w:t>
      </w:r>
    </w:p>
    <w:p>
      <w:pPr>
        <w:pBdr>
          <w:bottom w:val="single" w:color="C2410C" w:sz="12" w:space="1"/>
        </w:pBdr>
        <w:spacing w:after="160"/>
      </w:pPr>
      <w:r>
        <w:rPr>
          <w:rFonts w:ascii="Calibri" w:cs="Calibri" w:eastAsia="Calibri" w:hAnsi="Calibri"/>
          <w:color w:val="C2410C"/>
          <w:sz w:val="20"/>
          <w:szCs w:val="20"/>
        </w:rPr>
        <w:t xml:space="preserve">9 anos de experiência  |  +R$ 1 milhão gerenciados em mídia  |  Brasil e EUA</w:t>
      </w:r>
    </w:p>
    <w:p>
      <w:pPr>
        <w:spacing w:after="160"/>
        <w:jc w:val="both"/>
      </w:pPr>
      <w:r>
        <w:rPr>
          <w:rFonts w:ascii="Calibri" w:cs="Calibri" w:eastAsia="Calibri" w:hAnsi="Calibri"/>
          <w:color w:val="4B5563"/>
          <w:sz w:val="21"/>
          <w:szCs w:val="21"/>
        </w:rPr>
        <w:t xml:space="preserve">Cada case a seguir segue a mesma lógica de trabalho: não se trata apenas de subir e otimizar anúncios, mas de operar um funil completo, da captação do lead até a venda. Aquisição de tráfego no Google e Meta, qualificação e atendimento automatizados, follow-up e integração com CRM formam um processo robusto e replicável, adaptado à realidade de cada cliente.</w:t>
      </w:r>
    </w:p>
    <w:p>
      <w:pPr>
        <w:spacing w:after="160"/>
        <w:jc w:val="both"/>
      </w:pPr>
      <w:r>
        <w:rPr>
          <w:rFonts w:ascii="Calibri" w:cs="Calibri" w:eastAsia="Calibri" w:hAnsi="Calibri"/>
          <w:color w:val="4B5563"/>
          <w:sz w:val="21"/>
          <w:szCs w:val="21"/>
        </w:rPr>
        <w:t xml:space="preserve">Esse mesmo domínio se aplica a projetos institucionais e de conteúdo, em que o objetivo é ampliar o alcance e a audiência de materiais como cursos, podcasts e videocasts junto a um público-alvo específico. Nessas frentes, atuo com planejamento e veiculação de campanhas de mídia paga no Google Ads e no Meta Ads, otimização contínua por indicadores (CPC, CPM, CTR e conversões) e relatórios mensais de desempenho que dão clareza sobre o resultado de cada real investido.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color w:val="4B5563"/>
          <w:sz w:val="20"/>
          <w:szCs w:val="20"/>
        </w:rPr>
        <w:t xml:space="preserve">As imagens a seguir são capturas reais das contas, campanhas e painéis de resultado.</w:t>
      </w:r>
    </w:p>
    <w:p>
      <w:r>
        <w:br w:type="page"/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32"/>
          <w:szCs w:val="32"/>
        </w:rPr>
        <w:t xml:space="preserve">PDR Crew</w:t>
      </w:r>
    </w:p>
    <w:p>
      <w:pPr>
        <w:pBdr>
          <w:bottom w:val="single" w:color="C2410C" w:sz="12" w:space="1"/>
        </w:pBdr>
        <w:spacing w:after="160"/>
      </w:pPr>
      <w:r>
        <w:rPr>
          <w:rFonts w:ascii="Calibri" w:cs="Calibri" w:eastAsia="Calibri" w:hAnsi="Calibri"/>
          <w:color w:val="C2410C"/>
          <w:sz w:val="20"/>
          <w:szCs w:val="20"/>
        </w:rPr>
        <w:t xml:space="preserve">Reparo automotivo e paintless dent repair — Austin e Pearland, Texas (EUA)  |  pdrcrew.com</w:t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color w:val="C2410C"/>
          <w:sz w:val="21"/>
          <w:szCs w:val="21"/>
        </w:rPr>
        <w:t xml:space="preserve">Desafio: 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gerar volume constante de ligações e leads qualificados para duas unidades no Texas, em um mercado competitivo de serviço automotivo local.</w:t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color w:val="C2410C"/>
          <w:sz w:val="21"/>
          <w:szCs w:val="21"/>
        </w:rPr>
        <w:t xml:space="preserve">O que foi feito: 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gestão integrada de Google Ads, Meta Ads e Local Services Ads (LSA), otimização do perfil no Google, rastreamento de conversões e automação de atendimento por IA (voz e SMS) conectada ao CRM para não perder nenhum lead.</w:t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color w:val="C2410C"/>
          <w:sz w:val="21"/>
          <w:szCs w:val="21"/>
        </w:rPr>
        <w:t xml:space="preserve">Resultado: 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mais de US$ 64 mil investidos em mídia com 3,4 milhões de impressões e 2.028 conversões geradas no período, com acompanhamento contínuo de desempenho consolidando todas as fontes.</w:t>
      </w:r>
    </w:p>
    <w:p>
      <w:pPr>
        <w:spacing w:after="60" w:before="60"/>
        <w:jc w:val="center"/>
      </w:pPr>
      <w:r>
        <w:drawing>
          <wp:inline distT="0" distB="0" distL="0" distR="0">
            <wp:extent cx="5619750" cy="23336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20"/>
        <w:jc w:val="center"/>
      </w:pPr>
      <w:r>
        <w:rPr>
          <w:rFonts w:ascii="Calibri" w:cs="Calibri" w:eastAsia="Calibri" w:hAnsi="Calibri"/>
          <w:i/>
          <w:iCs/>
          <w:color w:val="9CA3AF"/>
          <w:sz w:val="17"/>
          <w:szCs w:val="17"/>
        </w:rPr>
        <w:t xml:space="preserve">Google Ads — investimento, impressões e conversões da conta (abr/2023 a ago/2026).</w:t>
      </w:r>
    </w:p>
    <w:p>
      <w:r>
        <w:br w:type="page"/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32"/>
          <w:szCs w:val="32"/>
        </w:rPr>
        <w:t xml:space="preserve">MB Wellness</w:t>
      </w:r>
    </w:p>
    <w:p>
      <w:pPr>
        <w:pBdr>
          <w:bottom w:val="single" w:color="C2410C" w:sz="12" w:space="1"/>
        </w:pBdr>
        <w:spacing w:after="160"/>
      </w:pPr>
      <w:r>
        <w:rPr>
          <w:rFonts w:ascii="Calibri" w:cs="Calibri" w:eastAsia="Calibri" w:hAnsi="Calibri"/>
          <w:color w:val="C2410C"/>
          <w:sz w:val="20"/>
          <w:szCs w:val="20"/>
        </w:rPr>
        <w:t xml:space="preserve">Telehealth e wellness — Franklin, Tennessee (EUA)</w:t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color w:val="C2410C"/>
          <w:sz w:val="21"/>
          <w:szCs w:val="21"/>
        </w:rPr>
        <w:t xml:space="preserve">Desafio: 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captar e agendar pacientes para uma operação de wellness, com atendimento rápido e em conformidade com as regras de mensagem (A2P) do mercado americano.</w:t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color w:val="C2410C"/>
          <w:sz w:val="21"/>
          <w:szCs w:val="21"/>
        </w:rPr>
        <w:t xml:space="preserve">O que foi feito: 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montagem da stack completa em GoHighLevel: captação por tráfego pago, automação de SMS, agente de IA para agendamento, landing page e configuração de pipeline e CRM.</w:t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color w:val="C2410C"/>
          <w:sz w:val="21"/>
          <w:szCs w:val="21"/>
        </w:rPr>
        <w:t xml:space="preserve">Resultado: 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operação gerando atualmente de 30 a 50 leads por semana para programas de emagrecimento, do anúncio ao agendamento de forma automatizada.</w:t>
      </w:r>
    </w:p>
    <w:p>
      <w:pPr>
        <w:spacing w:after="60" w:before="60"/>
        <w:jc w:val="center"/>
      </w:pPr>
      <w:r>
        <w:drawing>
          <wp:inline distT="0" distB="0" distL="0" distR="0">
            <wp:extent cx="561975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20"/>
        <w:jc w:val="center"/>
      </w:pPr>
      <w:r>
        <w:rPr>
          <w:rFonts w:ascii="Calibri" w:cs="Calibri" w:eastAsia="Calibri" w:hAnsi="Calibri"/>
          <w:i/>
          <w:iCs/>
          <w:color w:val="9CA3AF"/>
          <w:sz w:val="17"/>
          <w:szCs w:val="17"/>
        </w:rPr>
        <w:t xml:space="preserve">Landing page da MB Wellness, porta de entrada da captação de pacientes.</w:t>
      </w:r>
    </w:p>
    <w:p>
      <w:r>
        <w:br w:type="page"/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32"/>
          <w:szCs w:val="32"/>
        </w:rPr>
        <w:t xml:space="preserve">Alpha Flooring and Tile</w:t>
      </w:r>
    </w:p>
    <w:p>
      <w:pPr>
        <w:pBdr>
          <w:bottom w:val="single" w:color="C2410C" w:sz="12" w:space="1"/>
        </w:pBdr>
        <w:spacing w:after="160"/>
      </w:pPr>
      <w:r>
        <w:rPr>
          <w:rFonts w:ascii="Calibri" w:cs="Calibri" w:eastAsia="Calibri" w:hAnsi="Calibri"/>
          <w:color w:val="C2410C"/>
          <w:sz w:val="20"/>
          <w:szCs w:val="20"/>
        </w:rPr>
        <w:t xml:space="preserve">Pisos e revestimentos — região de Nashville, Tennessee (EUA)</w:t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color w:val="C2410C"/>
          <w:sz w:val="21"/>
          <w:szCs w:val="21"/>
        </w:rPr>
        <w:t xml:space="preserve">Desafio: 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gerar orçamentos qualificados para um negócio local de pisos, com custo por lead alto e atendimento imediato aos leads que chegam.</w:t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color w:val="C2410C"/>
          <w:sz w:val="21"/>
          <w:szCs w:val="21"/>
        </w:rPr>
        <w:t xml:space="preserve">O que foi feito: 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campanhas de mídia paga otimizadas, agente de IA para atendimento inbound, consentimento A2P para SMS e formulário integrado ao fluxo de captação.</w:t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color w:val="C2410C"/>
          <w:sz w:val="21"/>
          <w:szCs w:val="21"/>
        </w:rPr>
        <w:t xml:space="preserve">Resultado: 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redução do custo por lead de US$ 200 para US$ 87 em serviços de hardwood e tile, mais que dobrando a eficiência da mídia.</w:t>
      </w:r>
    </w:p>
    <w:p>
      <w:pPr>
        <w:spacing w:after="60" w:before="60"/>
        <w:jc w:val="center"/>
      </w:pPr>
      <w:r>
        <w:drawing>
          <wp:inline distT="0" distB="0" distL="0" distR="0">
            <wp:extent cx="5334000" cy="33528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20"/>
        <w:jc w:val="center"/>
      </w:pPr>
      <w:r>
        <w:rPr>
          <w:rFonts w:ascii="Calibri" w:cs="Calibri" w:eastAsia="Calibri" w:hAnsi="Calibri"/>
          <w:i/>
          <w:iCs/>
          <w:color w:val="9CA3AF"/>
          <w:sz w:val="17"/>
          <w:szCs w:val="17"/>
        </w:rPr>
        <w:t xml:space="preserve">Perfil e trabalhos da Alpha Flooring and Tile (alphaflooringandtile.com).</w:t>
      </w:r>
    </w:p>
    <w:p>
      <w:r>
        <w:br w:type="page"/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32"/>
          <w:szCs w:val="32"/>
        </w:rPr>
        <w:t xml:space="preserve">Volume e Experiência</w:t>
      </w:r>
    </w:p>
    <w:p>
      <w:pPr>
        <w:pBdr>
          <w:bottom w:val="single" w:color="C2410C" w:sz="12" w:space="1"/>
        </w:pBdr>
        <w:spacing w:after="160"/>
      </w:pPr>
      <w:r>
        <w:rPr>
          <w:rFonts w:ascii="Calibri" w:cs="Calibri" w:eastAsia="Calibri" w:hAnsi="Calibri"/>
          <w:color w:val="C2410C"/>
          <w:sz w:val="20"/>
          <w:szCs w:val="20"/>
        </w:rPr>
        <w:t xml:space="preserve">Brasil e EUA — múltiplas contas e clientes gerenciados</w:t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color w:val="C2410C"/>
          <w:sz w:val="21"/>
          <w:szCs w:val="21"/>
        </w:rPr>
        <w:t xml:space="preserve">Panorama: 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ao longo de 9 anos, gerencio um portfólio amplo de contas de anúncio e clientes nos dois países, sempre com foco em performance e retorno mensurável. Somo mais de R$ 1 milhão em mídia paga gerenciada.</w:t>
      </w:r>
    </w:p>
    <w:p>
      <w:pPr>
        <w:spacing w:after="60" w:before="60"/>
        <w:jc w:val="center"/>
      </w:pPr>
      <w:r>
        <w:drawing>
          <wp:inline distT="0" distB="0" distL="0" distR="0">
            <wp:extent cx="2857500" cy="2857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20"/>
        <w:jc w:val="center"/>
      </w:pPr>
      <w:r>
        <w:rPr>
          <w:rFonts w:ascii="Calibri" w:cs="Calibri" w:eastAsia="Calibri" w:hAnsi="Calibri"/>
          <w:i/>
          <w:iCs/>
          <w:color w:val="9CA3AF"/>
          <w:sz w:val="17"/>
          <w:szCs w:val="17"/>
        </w:rPr>
        <w:t xml:space="preserve">Alguns dos clientes atendidos, de restaurantes a negócios locais.</w:t>
      </w:r>
    </w:p>
    <w:p>
      <w:pPr>
        <w:spacing w:after="60" w:before="60"/>
        <w:jc w:val="center"/>
      </w:pPr>
      <w:r>
        <w:drawing>
          <wp:inline distT="0" distB="0" distL="0" distR="0">
            <wp:extent cx="2857500" cy="31337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20"/>
        <w:jc w:val="center"/>
      </w:pPr>
      <w:r>
        <w:rPr>
          <w:rFonts w:ascii="Calibri" w:cs="Calibri" w:eastAsia="Calibri" w:hAnsi="Calibri"/>
          <w:i/>
          <w:iCs/>
          <w:color w:val="9CA3AF"/>
          <w:sz w:val="17"/>
          <w:szCs w:val="17"/>
        </w:rPr>
        <w:t xml:space="preserve">Portfólio de negócios na Meta: 10 contas de anúncio na PDR Crew e diversos outros clientes.</w:t>
      </w:r>
    </w:p>
    <w:p>
      <w:r>
        <w:br w:type="page"/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32"/>
          <w:szCs w:val="32"/>
        </w:rPr>
        <w:t xml:space="preserve">Gestão de Mídia em Escala</w:t>
      </w:r>
    </w:p>
    <w:p>
      <w:pPr>
        <w:pBdr>
          <w:bottom w:val="single" w:color="C2410C" w:sz="12" w:space="1"/>
        </w:pBdr>
        <w:spacing w:after="160"/>
      </w:pPr>
      <w:r>
        <w:rPr>
          <w:rFonts w:ascii="Calibri" w:cs="Calibri" w:eastAsia="Calibri" w:hAnsi="Calibri"/>
          <w:color w:val="C2410C"/>
          <w:sz w:val="20"/>
          <w:szCs w:val="20"/>
        </w:rPr>
        <w:t xml:space="preserve">Contas em BRL e USD — de negócios locais a operações robustas</w:t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color w:val="C2410C"/>
          <w:sz w:val="21"/>
          <w:szCs w:val="21"/>
        </w:rPr>
        <w:t xml:space="preserve">Escala:  </w:t>
      </w:r>
      <w:r>
        <w:rPr>
          <w:rFonts w:ascii="Calibri" w:cs="Calibri" w:eastAsia="Calibri" w:hAnsi="Calibri"/>
          <w:color w:val="4B5563"/>
          <w:sz w:val="21"/>
          <w:szCs w:val="21"/>
        </w:rPr>
        <w:t xml:space="preserve">operação com contas em real e dólar, atendendo desde negócios locais até campanhas com investimento robusto, sempre com mensuração de resultado.</w:t>
      </w:r>
    </w:p>
    <w:p>
      <w:pPr>
        <w:spacing w:after="60" w:before="60"/>
        <w:jc w:val="center"/>
      </w:pPr>
      <w:r>
        <w:drawing>
          <wp:inline distT="0" distB="0" distL="0" distR="0">
            <wp:extent cx="5619750" cy="5429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20"/>
        <w:jc w:val="center"/>
      </w:pPr>
      <w:r>
        <w:rPr>
          <w:rFonts w:ascii="Calibri" w:cs="Calibri" w:eastAsia="Calibri" w:hAnsi="Calibri"/>
          <w:i/>
          <w:iCs/>
          <w:color w:val="9CA3AF"/>
          <w:sz w:val="17"/>
          <w:szCs w:val="17"/>
        </w:rPr>
        <w:t xml:space="preserve">Exemplo de conta com mais de R$ 60 mil investidos em mídia na Meta.</w:t>
      </w:r>
    </w:p>
    <w:p>
      <w:r>
        <w:br w:type="page"/>
      </w:r>
    </w:p>
    <w:p>
      <w:pPr>
        <w:spacing w:before="1800"/>
      </w:pPr>
    </w:p>
    <w:p>
      <w:pPr>
        <w:spacing w:after="80"/>
        <w:jc w:val="center"/>
      </w:pPr>
      <w:r>
        <w:rPr>
          <w:rFonts w:ascii="Calibri" w:cs="Calibri" w:eastAsia="Calibri" w:hAnsi="Calibri"/>
          <w:b/>
          <w:bCs/>
          <w:color w:val="C2410C"/>
          <w:sz w:val="44"/>
          <w:szCs w:val="44"/>
        </w:rPr>
        <w:t xml:space="preserve">Vamos conversar</w:t>
      </w:r>
    </w:p>
    <w:p>
      <w:pPr>
        <w:spacing w:after="400"/>
        <w:jc w:val="center"/>
      </w:pPr>
      <w:r>
        <w:rPr>
          <w:rFonts w:ascii="Calibri" w:cs="Calibri" w:eastAsia="Calibri" w:hAnsi="Calibri"/>
          <w:color w:val="4B5563"/>
          <w:sz w:val="22"/>
          <w:szCs w:val="22"/>
        </w:rPr>
        <w:t xml:space="preserve">Disponível para integrar a equipe técnica do projeto como especialista em mídia paga e performance.</w:t>
      </w:r>
    </w:p>
    <w:p>
      <w:pPr>
        <w:pBdr>
          <w:top w:val="single" w:color="F59E0B" w:sz="12" w:space="8"/>
        </w:pBdr>
        <w:spacing w:after="60" w:before="200"/>
        <w:jc w:val="center"/>
      </w:pPr>
      <w:r>
        <w:rPr>
          <w:rFonts w:ascii="Calibri" w:cs="Calibri" w:eastAsia="Calibri" w:hAnsi="Calibri"/>
          <w:b/>
          <w:bCs/>
          <w:color w:val="1F2937"/>
          <w:sz w:val="26"/>
          <w:szCs w:val="26"/>
        </w:rPr>
        <w:t xml:space="preserve">NICOLAS A. M. FAYER</w:t>
      </w:r>
    </w:p>
    <w:p>
      <w:pPr>
        <w:jc w:val="center"/>
      </w:pPr>
      <w:r>
        <w:rPr>
          <w:rFonts w:ascii="Calibri" w:cs="Calibri" w:eastAsia="Calibri" w:hAnsi="Calibri"/>
          <w:color w:val="C2410C"/>
          <w:sz w:val="20"/>
          <w:szCs w:val="20"/>
        </w:rPr>
        <w:t xml:space="preserve">Fundador — TMJ Marketing</w:t>
      </w:r>
    </w:p>
    <w:p>
      <w:pPr>
        <w:spacing w:before="120"/>
        <w:jc w:val="center"/>
      </w:pPr>
      <w:r>
        <w:rPr>
          <w:rFonts w:ascii="Calibri" w:cs="Calibri" w:eastAsia="Calibri" w:hAnsi="Calibri"/>
          <w:color w:val="4B5563"/>
          <w:sz w:val="20"/>
          <w:szCs w:val="20"/>
        </w:rPr>
        <w:t xml:space="preserve">fayernicolas@gmail.com   |   +55 32 98486-9729   |   tmjmarketing.com.br</w:t>
      </w:r>
    </w:p>
    <w:sectPr>
      <w:pgSz w:w="11906" w:h="16838" w:orient="portrait"/>
      <w:pgMar w:top="900" w:right="1080" w:bottom="72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1df78df39ff7d2c8ef6b82a75da3c9e5abd611a.png"/><Relationship Id="rId8" Type="http://schemas.openxmlformats.org/officeDocument/2006/relationships/image" Target="media/bdfa7056de1dedc42f5b09060084442606a9c25c.png"/><Relationship Id="rId9" Type="http://schemas.openxmlformats.org/officeDocument/2006/relationships/image" Target="media/3ccf633f332931a46ee4164267760539d841de73.png"/><Relationship Id="rId10" Type="http://schemas.openxmlformats.org/officeDocument/2006/relationships/image" Target="media/d0668f4c2903c840a10a21c80b58f23aaac63386.png"/><Relationship Id="rId11" Type="http://schemas.openxmlformats.org/officeDocument/2006/relationships/image" Target="media/3280d6217696649ed91ba9951e07e5191e6d1f0d.png"/><Relationship Id="rId12" Type="http://schemas.openxmlformats.org/officeDocument/2006/relationships/image" Target="media/bdf508974f69fd4b3905045b686b1c2dbae76cd2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2026-08-11T00:03:26.224Z</dcterms:created>
  <dcterms:modified xsi:type="dcterms:W3CDTF">2026-08-11T00:03:26.224Z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